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jc w:val="center"/>
        <w:tblCellSpacing w:w="0" w:type="dxa"/>
        <w:tblCellMar>
          <w:top w:w="45" w:type="dxa"/>
          <w:left w:w="45" w:type="dxa"/>
          <w:bottom w:w="45" w:type="dxa"/>
          <w:right w:w="45" w:type="dxa"/>
        </w:tblCellMar>
        <w:tblLook w:val="04A0" w:firstRow="1" w:lastRow="0" w:firstColumn="1" w:lastColumn="0" w:noHBand="0" w:noVBand="1"/>
      </w:tblPr>
      <w:tblGrid>
        <w:gridCol w:w="10500"/>
      </w:tblGrid>
      <w:tr w:rsidR="00204D31" w:rsidRPr="00204D31" w:rsidTr="00204D3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0" w:type="dxa"/>
              <w:bottom w:w="45" w:type="dxa"/>
              <w:right w:w="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5235"/>
              <w:gridCol w:w="5235"/>
            </w:tblGrid>
            <w:tr w:rsidR="00204D31" w:rsidRPr="00204D31">
              <w:trPr>
                <w:tblCellSpacing w:w="15" w:type="dxa"/>
              </w:trPr>
              <w:tc>
                <w:tcPr>
                  <w:tcW w:w="2500" w:type="pct"/>
                  <w:shd w:val="clear" w:color="auto" w:fill="auto"/>
                  <w:vAlign w:val="center"/>
                  <w:hideMark/>
                </w:tcPr>
                <w:p w:rsidR="00204D31" w:rsidRPr="00204D31" w:rsidRDefault="00204D31" w:rsidP="00204D31">
                  <w:pPr>
                    <w:spacing w:after="0" w:line="240" w:lineRule="auto"/>
                    <w:rPr>
                      <w:rFonts w:ascii="segoe_uiregular" w:eastAsia="Times New Roman" w:hAnsi="segoe_uiregular" w:cs="Times New Roman"/>
                      <w:color w:val="333333"/>
                      <w:sz w:val="20"/>
                      <w:szCs w:val="20"/>
                      <w:lang w:eastAsia="en-GB"/>
                    </w:rPr>
                  </w:pPr>
                  <w:r w:rsidRPr="00204D31">
                    <w:rPr>
                      <w:rFonts w:ascii="segoe_uiregular" w:eastAsia="Times New Roman" w:hAnsi="segoe_uiregular" w:cs="Times New Roman"/>
                      <w:color w:val="333333"/>
                      <w:sz w:val="20"/>
                      <w:szCs w:val="20"/>
                      <w:lang w:eastAsia="en-GB"/>
                    </w:rPr>
                    <w:t>ESC CONGRESS 2016</w:t>
                  </w:r>
                </w:p>
              </w:tc>
              <w:tc>
                <w:tcPr>
                  <w:tcW w:w="2500" w:type="pct"/>
                  <w:shd w:val="clear" w:color="auto" w:fill="auto"/>
                  <w:vAlign w:val="center"/>
                  <w:hideMark/>
                </w:tcPr>
                <w:p w:rsidR="00204D31" w:rsidRPr="00204D31" w:rsidRDefault="00204D31" w:rsidP="00204D31">
                  <w:pPr>
                    <w:spacing w:after="0" w:line="240" w:lineRule="auto"/>
                    <w:rPr>
                      <w:rFonts w:ascii="segoe_uiregular" w:eastAsia="Times New Roman" w:hAnsi="segoe_uiregular" w:cs="Times New Roman"/>
                      <w:color w:val="333333"/>
                      <w:sz w:val="20"/>
                      <w:szCs w:val="20"/>
                      <w:lang w:eastAsia="en-GB"/>
                    </w:rPr>
                  </w:pPr>
                </w:p>
              </w:tc>
            </w:tr>
          </w:tbl>
          <w:p w:rsidR="00204D31" w:rsidRPr="00204D31" w:rsidRDefault="00204D31" w:rsidP="00204D31">
            <w:pPr>
              <w:spacing w:after="0" w:line="240" w:lineRule="auto"/>
              <w:rPr>
                <w:rFonts w:ascii="segoe_uiregular" w:eastAsia="Times New Roman" w:hAnsi="segoe_uiregular" w:cs="Times New Roman"/>
                <w:color w:val="333333"/>
                <w:sz w:val="20"/>
                <w:szCs w:val="20"/>
                <w:lang w:eastAsia="en-GB"/>
              </w:rPr>
            </w:pPr>
          </w:p>
        </w:tc>
      </w:tr>
      <w:tr w:rsidR="00204D31" w:rsidRPr="00204D31" w:rsidTr="00204D3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0" w:type="dxa"/>
              <w:bottom w:w="45" w:type="dxa"/>
              <w:right w:w="0" w:type="dxa"/>
            </w:tcMar>
            <w:vAlign w:val="center"/>
            <w:hideMark/>
          </w:tcPr>
          <w:p w:rsidR="00204D31" w:rsidRPr="00204D31" w:rsidRDefault="00204D31" w:rsidP="00204D31">
            <w:pPr>
              <w:spacing w:after="0" w:line="240" w:lineRule="auto"/>
              <w:rPr>
                <w:rFonts w:ascii="segoe_uiregular" w:eastAsia="Times New Roman" w:hAnsi="segoe_uiregular" w:cs="Times New Roman"/>
                <w:color w:val="333333"/>
                <w:sz w:val="20"/>
                <w:szCs w:val="20"/>
                <w:lang w:eastAsia="en-GB"/>
              </w:rPr>
            </w:pPr>
            <w:r w:rsidRPr="00204D31">
              <w:rPr>
                <w:rFonts w:ascii="segoe_uiregular" w:eastAsia="Times New Roman" w:hAnsi="segoe_uiregular" w:cs="Times New Roman"/>
                <w:color w:val="333333"/>
                <w:sz w:val="20"/>
                <w:szCs w:val="20"/>
                <w:lang w:eastAsia="en-GB"/>
              </w:rPr>
              <w:t xml:space="preserve">Doctor Richard Bogle (EUD </w:t>
            </w:r>
            <w:proofErr w:type="gramStart"/>
            <w:r w:rsidRPr="00204D31">
              <w:rPr>
                <w:rFonts w:ascii="segoe_uiregular" w:eastAsia="Times New Roman" w:hAnsi="segoe_uiregular" w:cs="Times New Roman"/>
                <w:color w:val="333333"/>
                <w:sz w:val="20"/>
                <w:szCs w:val="20"/>
                <w:lang w:eastAsia="en-GB"/>
              </w:rPr>
              <w:t>ID :</w:t>
            </w:r>
            <w:proofErr w:type="gramEnd"/>
            <w:r w:rsidRPr="00204D31">
              <w:rPr>
                <w:rFonts w:ascii="segoe_uiregular" w:eastAsia="Times New Roman" w:hAnsi="segoe_uiregular" w:cs="Times New Roman"/>
                <w:color w:val="333333"/>
                <w:sz w:val="20"/>
                <w:szCs w:val="20"/>
                <w:lang w:eastAsia="en-GB"/>
              </w:rPr>
              <w:t xml:space="preserve"> 156451)</w:t>
            </w:r>
            <w:r w:rsidRPr="00204D31">
              <w:rPr>
                <w:rFonts w:ascii="segoe_uiregular" w:eastAsia="Times New Roman" w:hAnsi="segoe_uiregular" w:cs="Times New Roman"/>
                <w:color w:val="333333"/>
                <w:sz w:val="20"/>
                <w:szCs w:val="20"/>
                <w:lang w:eastAsia="en-GB"/>
              </w:rPr>
              <w:br/>
              <w:t xml:space="preserve">Epsom And St Helier University Hospitals </w:t>
            </w:r>
            <w:proofErr w:type="spellStart"/>
            <w:r w:rsidRPr="00204D31">
              <w:rPr>
                <w:rFonts w:ascii="segoe_uiregular" w:eastAsia="Times New Roman" w:hAnsi="segoe_uiregular" w:cs="Times New Roman"/>
                <w:color w:val="333333"/>
                <w:sz w:val="20"/>
                <w:szCs w:val="20"/>
                <w:lang w:eastAsia="en-GB"/>
              </w:rPr>
              <w:t>Nhs</w:t>
            </w:r>
            <w:proofErr w:type="spellEnd"/>
            <w:r w:rsidRPr="00204D31">
              <w:rPr>
                <w:rFonts w:ascii="segoe_uiregular" w:eastAsia="Times New Roman" w:hAnsi="segoe_uiregular" w:cs="Times New Roman"/>
                <w:color w:val="333333"/>
                <w:sz w:val="20"/>
                <w:szCs w:val="20"/>
                <w:lang w:eastAsia="en-GB"/>
              </w:rPr>
              <w:br/>
              <w:t>Cardiology</w:t>
            </w:r>
            <w:r w:rsidRPr="00204D31">
              <w:rPr>
                <w:rFonts w:ascii="segoe_uiregular" w:eastAsia="Times New Roman" w:hAnsi="segoe_uiregular" w:cs="Times New Roman"/>
                <w:color w:val="333333"/>
                <w:sz w:val="20"/>
                <w:szCs w:val="20"/>
                <w:lang w:eastAsia="en-GB"/>
              </w:rPr>
              <w:br/>
              <w:t>Wrythe Lane</w:t>
            </w:r>
            <w:r w:rsidRPr="00204D31">
              <w:rPr>
                <w:rFonts w:ascii="segoe_uiregular" w:eastAsia="Times New Roman" w:hAnsi="segoe_uiregular" w:cs="Times New Roman"/>
                <w:color w:val="333333"/>
                <w:sz w:val="20"/>
                <w:szCs w:val="20"/>
                <w:lang w:eastAsia="en-GB"/>
              </w:rPr>
              <w:br/>
              <w:t>SM5 1AA - Carshalton United Kingdom</w:t>
            </w:r>
            <w:r w:rsidRPr="00204D31">
              <w:rPr>
                <w:rFonts w:ascii="segoe_uiregular" w:eastAsia="Times New Roman" w:hAnsi="segoe_uiregular" w:cs="Times New Roman"/>
                <w:color w:val="333333"/>
                <w:sz w:val="20"/>
                <w:szCs w:val="20"/>
                <w:lang w:eastAsia="en-GB"/>
              </w:rPr>
              <w:br/>
              <w:t>Phone : +44 2082962782 - Fax : +44 2082963814</w:t>
            </w:r>
            <w:r w:rsidRPr="00204D31">
              <w:rPr>
                <w:rFonts w:ascii="segoe_uiregular" w:eastAsia="Times New Roman" w:hAnsi="segoe_uiregular" w:cs="Times New Roman"/>
                <w:color w:val="333333"/>
                <w:sz w:val="20"/>
                <w:szCs w:val="20"/>
                <w:lang w:eastAsia="en-GB"/>
              </w:rPr>
              <w:br/>
              <w:t>Email : richard.bogle@cardiac-report.com</w:t>
            </w:r>
          </w:p>
        </w:tc>
      </w:tr>
      <w:tr w:rsidR="00204D31" w:rsidRPr="00204D31" w:rsidTr="00204D3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0" w:type="dxa"/>
              <w:bottom w:w="45"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3"/>
              <w:gridCol w:w="9387"/>
            </w:tblGrid>
            <w:tr w:rsidR="00204D31" w:rsidRPr="00204D31">
              <w:trPr>
                <w:tblCellSpacing w:w="15" w:type="dxa"/>
              </w:trPr>
              <w:tc>
                <w:tcPr>
                  <w:tcW w:w="500" w:type="pct"/>
                  <w:shd w:val="clear" w:color="auto" w:fill="auto"/>
                  <w:tcMar>
                    <w:top w:w="15" w:type="dxa"/>
                    <w:left w:w="0" w:type="dxa"/>
                    <w:bottom w:w="15" w:type="dxa"/>
                    <w:right w:w="0" w:type="dxa"/>
                  </w:tcMar>
                  <w:vAlign w:val="center"/>
                  <w:hideMark/>
                </w:tcPr>
                <w:p w:rsidR="00204D31" w:rsidRPr="00204D31" w:rsidRDefault="00204D31" w:rsidP="00204D31">
                  <w:pPr>
                    <w:spacing w:after="0" w:line="240" w:lineRule="auto"/>
                    <w:rPr>
                      <w:rFonts w:ascii="segoe_uiregular" w:eastAsia="Times New Roman" w:hAnsi="segoe_uiregular" w:cs="Times New Roman"/>
                      <w:color w:val="333333"/>
                      <w:sz w:val="20"/>
                      <w:szCs w:val="20"/>
                      <w:lang w:eastAsia="en-GB"/>
                    </w:rPr>
                  </w:pPr>
                </w:p>
              </w:tc>
              <w:tc>
                <w:tcPr>
                  <w:tcW w:w="4500" w:type="pct"/>
                  <w:shd w:val="clear" w:color="auto" w:fill="auto"/>
                  <w:tcMar>
                    <w:top w:w="15" w:type="dxa"/>
                    <w:left w:w="0" w:type="dxa"/>
                    <w:bottom w:w="15" w:type="dxa"/>
                    <w:right w:w="0" w:type="dxa"/>
                  </w:tcMar>
                  <w:vAlign w:val="center"/>
                  <w:hideMark/>
                </w:tcPr>
                <w:p w:rsidR="00204D31" w:rsidRPr="00204D31" w:rsidRDefault="00204D31" w:rsidP="00204D31">
                  <w:pPr>
                    <w:spacing w:after="0" w:line="240" w:lineRule="auto"/>
                    <w:rPr>
                      <w:rFonts w:ascii="segoe_uiregular" w:eastAsia="Times New Roman" w:hAnsi="segoe_uiregular" w:cs="Times New Roman"/>
                      <w:color w:val="333333"/>
                      <w:sz w:val="20"/>
                      <w:szCs w:val="20"/>
                      <w:lang w:eastAsia="en-GB"/>
                    </w:rPr>
                  </w:pPr>
                  <w:r w:rsidRPr="00204D31">
                    <w:rPr>
                      <w:rFonts w:ascii="segoe_uiregular" w:eastAsia="Times New Roman" w:hAnsi="segoe_uiregular" w:cs="Times New Roman"/>
                      <w:color w:val="333333"/>
                      <w:sz w:val="20"/>
                      <w:szCs w:val="20"/>
                      <w:lang w:eastAsia="en-GB"/>
                    </w:rPr>
                    <w:t>Agreement Form sent on 08/05/2016 01:09</w:t>
                  </w:r>
                </w:p>
              </w:tc>
            </w:tr>
            <w:tr w:rsidR="00204D31" w:rsidRPr="00204D31">
              <w:trPr>
                <w:tblCellSpacing w:w="15" w:type="dxa"/>
              </w:trPr>
              <w:tc>
                <w:tcPr>
                  <w:tcW w:w="500" w:type="pct"/>
                  <w:shd w:val="clear" w:color="auto" w:fill="auto"/>
                  <w:tcMar>
                    <w:top w:w="15" w:type="dxa"/>
                    <w:left w:w="0" w:type="dxa"/>
                    <w:bottom w:w="15" w:type="dxa"/>
                    <w:right w:w="0" w:type="dxa"/>
                  </w:tcMar>
                  <w:vAlign w:val="center"/>
                  <w:hideMark/>
                </w:tcPr>
                <w:p w:rsidR="00204D31" w:rsidRPr="00204D31" w:rsidRDefault="00204D31" w:rsidP="00204D31">
                  <w:pPr>
                    <w:spacing w:after="0" w:line="240" w:lineRule="auto"/>
                    <w:rPr>
                      <w:rFonts w:ascii="segoe_uiregular" w:eastAsia="Times New Roman" w:hAnsi="segoe_uiregular" w:cs="Times New Roman"/>
                      <w:color w:val="333333"/>
                      <w:sz w:val="20"/>
                      <w:szCs w:val="20"/>
                      <w:lang w:eastAsia="en-GB"/>
                    </w:rPr>
                  </w:pPr>
                </w:p>
              </w:tc>
              <w:tc>
                <w:tcPr>
                  <w:tcW w:w="4500" w:type="pct"/>
                  <w:shd w:val="clear" w:color="auto" w:fill="auto"/>
                  <w:tcMar>
                    <w:top w:w="15" w:type="dxa"/>
                    <w:left w:w="0" w:type="dxa"/>
                    <w:bottom w:w="15" w:type="dxa"/>
                    <w:right w:w="0" w:type="dxa"/>
                  </w:tcMar>
                  <w:vAlign w:val="center"/>
                  <w:hideMark/>
                </w:tcPr>
                <w:p w:rsidR="00204D31" w:rsidRPr="00204D31" w:rsidRDefault="00204D31" w:rsidP="00204D31">
                  <w:pPr>
                    <w:spacing w:after="0" w:line="240" w:lineRule="auto"/>
                    <w:rPr>
                      <w:rFonts w:ascii="segoe_uiregular" w:eastAsia="Times New Roman" w:hAnsi="segoe_uiregular" w:cs="Times New Roman"/>
                      <w:color w:val="333333"/>
                      <w:sz w:val="20"/>
                      <w:szCs w:val="20"/>
                      <w:lang w:eastAsia="en-GB"/>
                    </w:rPr>
                  </w:pPr>
                  <w:r w:rsidRPr="00204D31">
                    <w:rPr>
                      <w:rFonts w:ascii="segoe_uiregular" w:eastAsia="Times New Roman" w:hAnsi="segoe_uiregular" w:cs="Times New Roman"/>
                      <w:color w:val="333333"/>
                      <w:sz w:val="20"/>
                      <w:szCs w:val="20"/>
                      <w:lang w:eastAsia="en-GB"/>
                    </w:rPr>
                    <w:t>The author agrees to transfer copyright to the ESC.</w:t>
                  </w:r>
                </w:p>
              </w:tc>
            </w:tr>
            <w:tr w:rsidR="00204D31" w:rsidRPr="00204D31">
              <w:trPr>
                <w:tblCellSpacing w:w="15" w:type="dxa"/>
              </w:trPr>
              <w:tc>
                <w:tcPr>
                  <w:tcW w:w="0" w:type="auto"/>
                  <w:shd w:val="clear" w:color="auto" w:fill="auto"/>
                  <w:tcMar>
                    <w:top w:w="15" w:type="dxa"/>
                    <w:left w:w="0" w:type="dxa"/>
                    <w:bottom w:w="15" w:type="dxa"/>
                    <w:right w:w="0" w:type="dxa"/>
                  </w:tcMar>
                  <w:vAlign w:val="center"/>
                  <w:hideMark/>
                </w:tcPr>
                <w:p w:rsidR="00204D31" w:rsidRPr="00204D31" w:rsidRDefault="00204D31" w:rsidP="00204D31">
                  <w:pPr>
                    <w:spacing w:after="0" w:line="240" w:lineRule="auto"/>
                    <w:rPr>
                      <w:rFonts w:ascii="segoe_uiregular" w:eastAsia="Times New Roman" w:hAnsi="segoe_uiregular" w:cs="Times New Roman"/>
                      <w:color w:val="333333"/>
                      <w:sz w:val="20"/>
                      <w:szCs w:val="20"/>
                      <w:lang w:eastAsia="en-GB"/>
                    </w:rPr>
                  </w:pPr>
                  <w:proofErr w:type="gramStart"/>
                  <w:r w:rsidRPr="00204D31">
                    <w:rPr>
                      <w:rFonts w:ascii="segoe_uiregular" w:eastAsia="Times New Roman" w:hAnsi="segoe_uiregular" w:cs="Times New Roman"/>
                      <w:color w:val="333333"/>
                      <w:sz w:val="20"/>
                      <w:szCs w:val="20"/>
                      <w:lang w:eastAsia="en-GB"/>
                    </w:rPr>
                    <w:t>Title :</w:t>
                  </w:r>
                  <w:proofErr w:type="gramEnd"/>
                </w:p>
              </w:tc>
              <w:tc>
                <w:tcPr>
                  <w:tcW w:w="0" w:type="auto"/>
                  <w:shd w:val="clear" w:color="auto" w:fill="auto"/>
                  <w:tcMar>
                    <w:top w:w="15" w:type="dxa"/>
                    <w:left w:w="0" w:type="dxa"/>
                    <w:bottom w:w="15" w:type="dxa"/>
                    <w:right w:w="0" w:type="dxa"/>
                  </w:tcMar>
                  <w:vAlign w:val="center"/>
                  <w:hideMark/>
                </w:tcPr>
                <w:p w:rsidR="00204D31" w:rsidRPr="00204D31" w:rsidRDefault="00204D31" w:rsidP="00204D31">
                  <w:pPr>
                    <w:spacing w:after="0" w:line="240" w:lineRule="auto"/>
                    <w:rPr>
                      <w:rFonts w:ascii="segoe_uiregular" w:eastAsia="Times New Roman" w:hAnsi="segoe_uiregular" w:cs="Times New Roman"/>
                      <w:color w:val="333333"/>
                      <w:sz w:val="20"/>
                      <w:szCs w:val="20"/>
                      <w:lang w:eastAsia="en-GB"/>
                    </w:rPr>
                  </w:pPr>
                  <w:r w:rsidRPr="00204D31">
                    <w:rPr>
                      <w:rFonts w:ascii="segoe_uiregular" w:eastAsia="Times New Roman" w:hAnsi="segoe_uiregular" w:cs="Times New Roman"/>
                      <w:color w:val="333333"/>
                      <w:sz w:val="20"/>
                      <w:szCs w:val="20"/>
                      <w:lang w:eastAsia="en-GB"/>
                    </w:rPr>
                    <w:t>Influence of national guidelines on the investigation of patients with suspected angina in a district hospital rapid access chest pain clinic</w:t>
                  </w:r>
                </w:p>
              </w:tc>
            </w:tr>
            <w:tr w:rsidR="00204D31" w:rsidRPr="00204D31">
              <w:trPr>
                <w:tblCellSpacing w:w="15" w:type="dxa"/>
              </w:trPr>
              <w:tc>
                <w:tcPr>
                  <w:tcW w:w="0" w:type="auto"/>
                  <w:shd w:val="clear" w:color="auto" w:fill="auto"/>
                  <w:tcMar>
                    <w:top w:w="15" w:type="dxa"/>
                    <w:left w:w="0" w:type="dxa"/>
                    <w:bottom w:w="15" w:type="dxa"/>
                    <w:right w:w="0" w:type="dxa"/>
                  </w:tcMar>
                  <w:vAlign w:val="center"/>
                  <w:hideMark/>
                </w:tcPr>
                <w:p w:rsidR="00204D31" w:rsidRPr="00204D31" w:rsidRDefault="00204D31" w:rsidP="00204D31">
                  <w:pPr>
                    <w:spacing w:after="0" w:line="240" w:lineRule="auto"/>
                    <w:rPr>
                      <w:rFonts w:ascii="segoe_uiregular" w:eastAsia="Times New Roman" w:hAnsi="segoe_uiregular" w:cs="Times New Roman"/>
                      <w:color w:val="333333"/>
                      <w:sz w:val="20"/>
                      <w:szCs w:val="20"/>
                      <w:lang w:eastAsia="en-GB"/>
                    </w:rPr>
                  </w:pPr>
                  <w:proofErr w:type="gramStart"/>
                  <w:r w:rsidRPr="00204D31">
                    <w:rPr>
                      <w:rFonts w:ascii="segoe_uiregular" w:eastAsia="Times New Roman" w:hAnsi="segoe_uiregular" w:cs="Times New Roman"/>
                      <w:color w:val="333333"/>
                      <w:sz w:val="20"/>
                      <w:szCs w:val="20"/>
                      <w:lang w:eastAsia="en-GB"/>
                    </w:rPr>
                    <w:t>Topic :</w:t>
                  </w:r>
                  <w:proofErr w:type="gramEnd"/>
                  <w:r w:rsidRPr="00204D31">
                    <w:rPr>
                      <w:rFonts w:ascii="segoe_uiregular" w:eastAsia="Times New Roman" w:hAnsi="segoe_uiregular" w:cs="Times New Roman"/>
                      <w:color w:val="333333"/>
                      <w:sz w:val="20"/>
                      <w:szCs w:val="20"/>
                      <w:lang w:eastAsia="en-GB"/>
                    </w:rPr>
                    <w:t xml:space="preserve"> </w:t>
                  </w:r>
                </w:p>
              </w:tc>
              <w:tc>
                <w:tcPr>
                  <w:tcW w:w="0" w:type="auto"/>
                  <w:shd w:val="clear" w:color="auto" w:fill="auto"/>
                  <w:tcMar>
                    <w:top w:w="15" w:type="dxa"/>
                    <w:left w:w="0" w:type="dxa"/>
                    <w:bottom w:w="15" w:type="dxa"/>
                    <w:right w:w="0" w:type="dxa"/>
                  </w:tcMar>
                  <w:vAlign w:val="center"/>
                  <w:hideMark/>
                </w:tcPr>
                <w:p w:rsidR="00204D31" w:rsidRPr="00204D31" w:rsidRDefault="00204D31" w:rsidP="00204D31">
                  <w:pPr>
                    <w:spacing w:after="0" w:line="240" w:lineRule="auto"/>
                    <w:rPr>
                      <w:rFonts w:ascii="segoe_uiregular" w:eastAsia="Times New Roman" w:hAnsi="segoe_uiregular" w:cs="Times New Roman"/>
                      <w:color w:val="333333"/>
                      <w:sz w:val="20"/>
                      <w:szCs w:val="20"/>
                      <w:lang w:eastAsia="en-GB"/>
                    </w:rPr>
                  </w:pPr>
                  <w:r w:rsidRPr="00204D31">
                    <w:rPr>
                      <w:rFonts w:ascii="segoe_uiregular" w:eastAsia="Times New Roman" w:hAnsi="segoe_uiregular" w:cs="Times New Roman"/>
                      <w:color w:val="333333"/>
                      <w:sz w:val="20"/>
                      <w:szCs w:val="20"/>
                      <w:lang w:eastAsia="en-GB"/>
                    </w:rPr>
                    <w:t>04.06 - Angina pectoris stable</w:t>
                  </w:r>
                </w:p>
              </w:tc>
            </w:tr>
            <w:tr w:rsidR="00204D31" w:rsidRPr="00204D31">
              <w:trPr>
                <w:tblCellSpacing w:w="15" w:type="dxa"/>
              </w:trPr>
              <w:tc>
                <w:tcPr>
                  <w:tcW w:w="0" w:type="auto"/>
                  <w:shd w:val="clear" w:color="auto" w:fill="auto"/>
                  <w:tcMar>
                    <w:top w:w="15" w:type="dxa"/>
                    <w:left w:w="0" w:type="dxa"/>
                    <w:bottom w:w="15" w:type="dxa"/>
                    <w:right w:w="0" w:type="dxa"/>
                  </w:tcMar>
                  <w:vAlign w:val="center"/>
                  <w:hideMark/>
                </w:tcPr>
                <w:p w:rsidR="00204D31" w:rsidRPr="00204D31" w:rsidRDefault="00204D31" w:rsidP="00204D31">
                  <w:pPr>
                    <w:spacing w:after="0" w:line="240" w:lineRule="auto"/>
                    <w:rPr>
                      <w:rFonts w:ascii="segoe_uiregular" w:eastAsia="Times New Roman" w:hAnsi="segoe_uiregular" w:cs="Times New Roman"/>
                      <w:color w:val="333333"/>
                      <w:sz w:val="20"/>
                      <w:szCs w:val="20"/>
                      <w:lang w:eastAsia="en-GB"/>
                    </w:rPr>
                  </w:pPr>
                  <w:proofErr w:type="gramStart"/>
                  <w:r w:rsidRPr="00204D31">
                    <w:rPr>
                      <w:rFonts w:ascii="segoe_uiregular" w:eastAsia="Times New Roman" w:hAnsi="segoe_uiregular" w:cs="Times New Roman"/>
                      <w:color w:val="333333"/>
                      <w:sz w:val="20"/>
                      <w:szCs w:val="20"/>
                      <w:lang w:eastAsia="en-GB"/>
                    </w:rPr>
                    <w:t>Category :</w:t>
                  </w:r>
                  <w:proofErr w:type="gramEnd"/>
                </w:p>
              </w:tc>
              <w:tc>
                <w:tcPr>
                  <w:tcW w:w="0" w:type="auto"/>
                  <w:shd w:val="clear" w:color="auto" w:fill="auto"/>
                  <w:tcMar>
                    <w:top w:w="15" w:type="dxa"/>
                    <w:left w:w="0" w:type="dxa"/>
                    <w:bottom w:w="15" w:type="dxa"/>
                    <w:right w:w="0" w:type="dxa"/>
                  </w:tcMar>
                  <w:vAlign w:val="center"/>
                  <w:hideMark/>
                </w:tcPr>
                <w:p w:rsidR="00204D31" w:rsidRPr="00204D31" w:rsidRDefault="00204D31" w:rsidP="00204D31">
                  <w:pPr>
                    <w:spacing w:after="0" w:line="240" w:lineRule="auto"/>
                    <w:rPr>
                      <w:rFonts w:ascii="segoe_uiregular" w:eastAsia="Times New Roman" w:hAnsi="segoe_uiregular" w:cs="Times New Roman"/>
                      <w:color w:val="333333"/>
                      <w:sz w:val="20"/>
                      <w:szCs w:val="20"/>
                      <w:lang w:eastAsia="en-GB"/>
                    </w:rPr>
                  </w:pPr>
                  <w:r w:rsidRPr="00204D31">
                    <w:rPr>
                      <w:rFonts w:ascii="segoe_uiregular" w:eastAsia="Times New Roman" w:hAnsi="segoe_uiregular" w:cs="Times New Roman"/>
                      <w:color w:val="333333"/>
                      <w:sz w:val="20"/>
                      <w:szCs w:val="20"/>
                      <w:lang w:eastAsia="en-GB"/>
                    </w:rPr>
                    <w:t>Bedside</w:t>
                  </w:r>
                </w:p>
              </w:tc>
            </w:tr>
            <w:tr w:rsidR="00204D31" w:rsidRPr="00204D31">
              <w:trPr>
                <w:tblCellSpacing w:w="15" w:type="dxa"/>
              </w:trPr>
              <w:tc>
                <w:tcPr>
                  <w:tcW w:w="0" w:type="auto"/>
                  <w:shd w:val="clear" w:color="auto" w:fill="auto"/>
                  <w:tcMar>
                    <w:top w:w="15" w:type="dxa"/>
                    <w:left w:w="0" w:type="dxa"/>
                    <w:bottom w:w="15" w:type="dxa"/>
                    <w:right w:w="0" w:type="dxa"/>
                  </w:tcMar>
                  <w:vAlign w:val="center"/>
                  <w:hideMark/>
                </w:tcPr>
                <w:p w:rsidR="00204D31" w:rsidRPr="00204D31" w:rsidRDefault="00204D31" w:rsidP="00204D31">
                  <w:pPr>
                    <w:spacing w:after="0" w:line="240" w:lineRule="auto"/>
                    <w:rPr>
                      <w:rFonts w:ascii="segoe_uiregular" w:eastAsia="Times New Roman" w:hAnsi="segoe_uiregular" w:cs="Times New Roman"/>
                      <w:color w:val="333333"/>
                      <w:sz w:val="20"/>
                      <w:szCs w:val="20"/>
                      <w:lang w:eastAsia="en-GB"/>
                    </w:rPr>
                  </w:pPr>
                  <w:proofErr w:type="gramStart"/>
                  <w:r w:rsidRPr="00204D31">
                    <w:rPr>
                      <w:rFonts w:ascii="segoe_uiregular" w:eastAsia="Times New Roman" w:hAnsi="segoe_uiregular" w:cs="Times New Roman"/>
                      <w:color w:val="333333"/>
                      <w:sz w:val="20"/>
                      <w:szCs w:val="20"/>
                      <w:lang w:eastAsia="en-GB"/>
                    </w:rPr>
                    <w:t>Option :</w:t>
                  </w:r>
                  <w:proofErr w:type="gramEnd"/>
                </w:p>
              </w:tc>
              <w:tc>
                <w:tcPr>
                  <w:tcW w:w="0" w:type="auto"/>
                  <w:shd w:val="clear" w:color="auto" w:fill="auto"/>
                  <w:tcMar>
                    <w:top w:w="15" w:type="dxa"/>
                    <w:left w:w="0" w:type="dxa"/>
                    <w:bottom w:w="15" w:type="dxa"/>
                    <w:right w:w="0" w:type="dxa"/>
                  </w:tcMar>
                  <w:vAlign w:val="center"/>
                  <w:hideMark/>
                </w:tcPr>
                <w:p w:rsidR="00204D31" w:rsidRPr="00204D31" w:rsidRDefault="00204D31" w:rsidP="00204D31">
                  <w:pPr>
                    <w:spacing w:after="0" w:line="240" w:lineRule="auto"/>
                    <w:rPr>
                      <w:rFonts w:ascii="segoe_uiregular" w:eastAsia="Times New Roman" w:hAnsi="segoe_uiregular" w:cs="Times New Roman"/>
                      <w:color w:val="333333"/>
                      <w:sz w:val="20"/>
                      <w:szCs w:val="20"/>
                      <w:lang w:eastAsia="en-GB"/>
                    </w:rPr>
                  </w:pPr>
                  <w:r w:rsidRPr="00204D31">
                    <w:rPr>
                      <w:rFonts w:ascii="segoe_uiregular" w:eastAsia="Times New Roman" w:hAnsi="segoe_uiregular" w:cs="Times New Roman"/>
                      <w:color w:val="333333"/>
                      <w:sz w:val="20"/>
                      <w:szCs w:val="20"/>
                      <w:lang w:eastAsia="en-GB"/>
                    </w:rPr>
                    <w:t>Young Investigator Award (YIA) Population Sciences</w:t>
                  </w:r>
                </w:p>
              </w:tc>
            </w:tr>
          </w:tbl>
          <w:p w:rsidR="00204D31" w:rsidRPr="00204D31" w:rsidRDefault="00204D31" w:rsidP="00204D31">
            <w:pPr>
              <w:spacing w:after="0" w:line="240" w:lineRule="auto"/>
              <w:rPr>
                <w:rFonts w:ascii="segoe_uiregular" w:eastAsia="Times New Roman" w:hAnsi="segoe_uiregular" w:cs="Times New Roman"/>
                <w:color w:val="333333"/>
                <w:sz w:val="20"/>
                <w:szCs w:val="20"/>
                <w:lang w:eastAsia="en-GB"/>
              </w:rPr>
            </w:pPr>
          </w:p>
        </w:tc>
      </w:tr>
      <w:tr w:rsidR="00204D31" w:rsidRPr="00204D31" w:rsidTr="00204D3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0" w:type="dxa"/>
              <w:bottom w:w="45" w:type="dxa"/>
              <w:right w:w="0" w:type="dxa"/>
            </w:tcMar>
            <w:vAlign w:val="center"/>
            <w:hideMark/>
          </w:tcPr>
          <w:p w:rsidR="00204D31" w:rsidRPr="00204D31" w:rsidRDefault="00204D31" w:rsidP="00204D31">
            <w:pPr>
              <w:spacing w:after="0" w:line="240" w:lineRule="auto"/>
              <w:rPr>
                <w:rFonts w:ascii="segoe_uiregular" w:eastAsia="Times New Roman" w:hAnsi="segoe_uiregular" w:cs="Times New Roman"/>
                <w:color w:val="333333"/>
                <w:sz w:val="20"/>
                <w:szCs w:val="20"/>
                <w:lang w:eastAsia="en-GB"/>
              </w:rPr>
            </w:pPr>
            <w:r w:rsidRPr="00204D31">
              <w:rPr>
                <w:rFonts w:ascii="segoe_uiregular" w:eastAsia="Times New Roman" w:hAnsi="segoe_uiregular" w:cs="Times New Roman"/>
                <w:color w:val="333333"/>
                <w:sz w:val="20"/>
                <w:szCs w:val="20"/>
                <w:lang w:eastAsia="en-GB"/>
              </w:rPr>
              <w:t>S. Khan</w:t>
            </w:r>
            <w:r w:rsidRPr="00204D31">
              <w:rPr>
                <w:rFonts w:ascii="segoe_uiregular" w:eastAsia="Times New Roman" w:hAnsi="segoe_uiregular" w:cs="Times New Roman"/>
                <w:color w:val="333333"/>
                <w:sz w:val="15"/>
                <w:szCs w:val="15"/>
                <w:vertAlign w:val="superscript"/>
                <w:lang w:eastAsia="en-GB"/>
              </w:rPr>
              <w:t>1</w:t>
            </w:r>
            <w:r w:rsidRPr="00204D31">
              <w:rPr>
                <w:rFonts w:ascii="segoe_uiregular" w:eastAsia="Times New Roman" w:hAnsi="segoe_uiregular" w:cs="Times New Roman"/>
                <w:color w:val="333333"/>
                <w:sz w:val="20"/>
                <w:szCs w:val="20"/>
                <w:lang w:eastAsia="en-GB"/>
              </w:rPr>
              <w:t>, B. Bradford</w:t>
            </w:r>
            <w:r w:rsidRPr="00204D31">
              <w:rPr>
                <w:rFonts w:ascii="segoe_uiregular" w:eastAsia="Times New Roman" w:hAnsi="segoe_uiregular" w:cs="Times New Roman"/>
                <w:color w:val="333333"/>
                <w:sz w:val="15"/>
                <w:szCs w:val="15"/>
                <w:vertAlign w:val="superscript"/>
                <w:lang w:eastAsia="en-GB"/>
              </w:rPr>
              <w:t>1</w:t>
            </w:r>
            <w:r w:rsidRPr="00204D31">
              <w:rPr>
                <w:rFonts w:ascii="segoe_uiregular" w:eastAsia="Times New Roman" w:hAnsi="segoe_uiregular" w:cs="Times New Roman"/>
                <w:color w:val="333333"/>
                <w:sz w:val="20"/>
                <w:szCs w:val="20"/>
                <w:lang w:eastAsia="en-GB"/>
              </w:rPr>
              <w:t>, S. John</w:t>
            </w:r>
            <w:r w:rsidRPr="00204D31">
              <w:rPr>
                <w:rFonts w:ascii="segoe_uiregular" w:eastAsia="Times New Roman" w:hAnsi="segoe_uiregular" w:cs="Times New Roman"/>
                <w:color w:val="333333"/>
                <w:sz w:val="15"/>
                <w:szCs w:val="15"/>
                <w:vertAlign w:val="superscript"/>
                <w:lang w:eastAsia="en-GB"/>
              </w:rPr>
              <w:t>1</w:t>
            </w:r>
            <w:r w:rsidRPr="00204D31">
              <w:rPr>
                <w:rFonts w:ascii="segoe_uiregular" w:eastAsia="Times New Roman" w:hAnsi="segoe_uiregular" w:cs="Times New Roman"/>
                <w:color w:val="333333"/>
                <w:sz w:val="20"/>
                <w:szCs w:val="20"/>
                <w:lang w:eastAsia="en-GB"/>
              </w:rPr>
              <w:t>, R. Paine</w:t>
            </w:r>
            <w:r w:rsidRPr="00204D31">
              <w:rPr>
                <w:rFonts w:ascii="segoe_uiregular" w:eastAsia="Times New Roman" w:hAnsi="segoe_uiregular" w:cs="Times New Roman"/>
                <w:color w:val="333333"/>
                <w:sz w:val="15"/>
                <w:szCs w:val="15"/>
                <w:vertAlign w:val="superscript"/>
                <w:lang w:eastAsia="en-GB"/>
              </w:rPr>
              <w:t>1</w:t>
            </w:r>
            <w:r w:rsidRPr="00204D31">
              <w:rPr>
                <w:rFonts w:ascii="segoe_uiregular" w:eastAsia="Times New Roman" w:hAnsi="segoe_uiregular" w:cs="Times New Roman"/>
                <w:color w:val="333333"/>
                <w:sz w:val="20"/>
                <w:szCs w:val="20"/>
                <w:lang w:eastAsia="en-GB"/>
              </w:rPr>
              <w:t>, J. Rogers</w:t>
            </w:r>
            <w:r w:rsidRPr="00204D31">
              <w:rPr>
                <w:rFonts w:ascii="segoe_uiregular" w:eastAsia="Times New Roman" w:hAnsi="segoe_uiregular" w:cs="Times New Roman"/>
                <w:color w:val="333333"/>
                <w:sz w:val="15"/>
                <w:szCs w:val="15"/>
                <w:vertAlign w:val="superscript"/>
                <w:lang w:eastAsia="en-GB"/>
              </w:rPr>
              <w:t>1</w:t>
            </w:r>
            <w:r w:rsidRPr="00204D31">
              <w:rPr>
                <w:rFonts w:ascii="segoe_uiregular" w:eastAsia="Times New Roman" w:hAnsi="segoe_uiregular" w:cs="Times New Roman"/>
                <w:color w:val="333333"/>
                <w:sz w:val="20"/>
                <w:szCs w:val="20"/>
                <w:lang w:eastAsia="en-GB"/>
              </w:rPr>
              <w:t>, RG. Bogle</w:t>
            </w:r>
            <w:r w:rsidRPr="00204D31">
              <w:rPr>
                <w:rFonts w:ascii="segoe_uiregular" w:eastAsia="Times New Roman" w:hAnsi="segoe_uiregular" w:cs="Times New Roman"/>
                <w:color w:val="333333"/>
                <w:sz w:val="15"/>
                <w:szCs w:val="15"/>
                <w:vertAlign w:val="superscript"/>
                <w:lang w:eastAsia="en-GB"/>
              </w:rPr>
              <w:t>1</w:t>
            </w:r>
            <w:r w:rsidRPr="00204D31">
              <w:rPr>
                <w:rFonts w:ascii="segoe_uiregular" w:eastAsia="Times New Roman" w:hAnsi="segoe_uiregular" w:cs="Times New Roman"/>
                <w:color w:val="333333"/>
                <w:sz w:val="20"/>
                <w:szCs w:val="20"/>
                <w:lang w:eastAsia="en-GB"/>
              </w:rPr>
              <w:t xml:space="preserve"> - (1) Epsom and St Helier University Hospitals NHS Trust, Carshalton, United Kingdom</w:t>
            </w:r>
          </w:p>
        </w:tc>
      </w:tr>
      <w:tr w:rsidR="00204D31" w:rsidRPr="00204D31" w:rsidTr="00204D3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0" w:type="dxa"/>
              <w:bottom w:w="45" w:type="dxa"/>
              <w:right w:w="0" w:type="dxa"/>
            </w:tcMar>
            <w:vAlign w:val="center"/>
            <w:hideMark/>
          </w:tcPr>
          <w:tbl>
            <w:tblPr>
              <w:tblW w:w="0" w:type="auto"/>
              <w:tblCellSpacing w:w="15" w:type="dxa"/>
              <w:tblCellMar>
                <w:top w:w="30" w:type="dxa"/>
                <w:left w:w="0" w:type="dxa"/>
                <w:bottom w:w="30" w:type="dxa"/>
                <w:right w:w="0" w:type="dxa"/>
              </w:tblCellMar>
              <w:tblLook w:val="04A0" w:firstRow="1" w:lastRow="0" w:firstColumn="1" w:lastColumn="0" w:noHBand="0" w:noVBand="1"/>
            </w:tblPr>
            <w:tblGrid>
              <w:gridCol w:w="10470"/>
            </w:tblGrid>
            <w:tr w:rsidR="00204D31" w:rsidRPr="00204D31">
              <w:trPr>
                <w:tblCellSpacing w:w="15" w:type="dxa"/>
              </w:trPr>
              <w:tc>
                <w:tcPr>
                  <w:tcW w:w="0" w:type="auto"/>
                  <w:shd w:val="clear" w:color="auto" w:fill="auto"/>
                  <w:vAlign w:val="center"/>
                  <w:hideMark/>
                </w:tcPr>
                <w:p w:rsidR="00204D31" w:rsidRPr="00204D31" w:rsidRDefault="00204D31" w:rsidP="00204D31">
                  <w:pPr>
                    <w:spacing w:after="0" w:line="240" w:lineRule="auto"/>
                    <w:rPr>
                      <w:rFonts w:ascii="segoe_uiregular" w:eastAsia="Times New Roman" w:hAnsi="segoe_uiregular" w:cs="Times New Roman"/>
                      <w:color w:val="333333"/>
                      <w:sz w:val="20"/>
                      <w:szCs w:val="20"/>
                      <w:lang w:eastAsia="en-GB"/>
                    </w:rPr>
                  </w:pPr>
                  <w:r w:rsidRPr="00204D31">
                    <w:rPr>
                      <w:rFonts w:ascii="segoe_uiregular" w:eastAsia="Times New Roman" w:hAnsi="segoe_uiregular" w:cs="Times New Roman"/>
                      <w:color w:val="333333"/>
                      <w:sz w:val="20"/>
                      <w:szCs w:val="20"/>
                      <w:lang w:eastAsia="en-GB"/>
                    </w:rPr>
                    <w:t>Background: The Rapid Access Chest Pain Clinic (RACPC) is a "one-stop" clinic which is designed to identify patients with stable chest pain due to coronary artery disease (CAD) and reassure those with non-cardiac pain. Historically, patients were offered exercise treadmill testing (ETT) however in March 2010 the National Institute of Clinical and Healthcare Excellence (NICE) published guidelines recommending assessment of likelihood of CAD based on age, gender, chest pain type and risk factors followed by further assessment with either CT scanning (CT), functional imaging or invasive coronary angiography (ICA). This guideline discouraged the use of ETT in patients without known CAD. The current study investigated temporal trends in the investigation of patients referred to a district hospital RACPC before and after publication of the NICE guideline.</w:t>
                  </w:r>
                  <w:r w:rsidRPr="00204D31">
                    <w:rPr>
                      <w:rFonts w:ascii="segoe_uiregular" w:eastAsia="Times New Roman" w:hAnsi="segoe_uiregular" w:cs="Times New Roman"/>
                      <w:color w:val="333333"/>
                      <w:sz w:val="20"/>
                      <w:szCs w:val="20"/>
                      <w:lang w:eastAsia="en-GB"/>
                    </w:rPr>
                    <w:br/>
                  </w:r>
                  <w:r w:rsidRPr="00204D31">
                    <w:rPr>
                      <w:rFonts w:ascii="segoe_uiregular" w:eastAsia="Times New Roman" w:hAnsi="segoe_uiregular" w:cs="Times New Roman"/>
                      <w:color w:val="333333"/>
                      <w:sz w:val="20"/>
                      <w:szCs w:val="20"/>
                      <w:lang w:eastAsia="en-GB"/>
                    </w:rPr>
                    <w:br/>
                    <w:t>Methods: We performed a retrospective analysis of consecutive patients referred to our RACPC (Sep 08-Oct 15). We assessed likelihood of CAD according to NICE guideline which defined high risk as likelihood of CAD: &gt;60%, intermediate risk: 30-60%, low risk: 11-29% and very low risk: &lt;10%. We recorded choice of initial and any subsequent investigation requested from clinic and performed economic analysis using current UK tariff.</w:t>
                  </w:r>
                  <w:r w:rsidRPr="00204D31">
                    <w:rPr>
                      <w:rFonts w:ascii="segoe_uiregular" w:eastAsia="Times New Roman" w:hAnsi="segoe_uiregular" w:cs="Times New Roman"/>
                      <w:color w:val="333333"/>
                      <w:sz w:val="20"/>
                      <w:szCs w:val="20"/>
                      <w:lang w:eastAsia="en-GB"/>
                    </w:rPr>
                    <w:br/>
                  </w:r>
                  <w:r w:rsidRPr="00204D31">
                    <w:rPr>
                      <w:rFonts w:ascii="segoe_uiregular" w:eastAsia="Times New Roman" w:hAnsi="segoe_uiregular" w:cs="Times New Roman"/>
                      <w:color w:val="333333"/>
                      <w:sz w:val="20"/>
                      <w:szCs w:val="20"/>
                      <w:lang w:eastAsia="en-GB"/>
                    </w:rPr>
                    <w:br/>
                    <w:t>Results: Our cohort comprised 6815 patients; 28% had high likelihood of CAD, mandating ICA; 10.2% intermediate likelihood, mandating functional imaging; 11.5% low likelihood, mandating CT and 50.3% very low likelihood. We divided patients into chronological cohorts composed of consecutive patients (each cohort contained 1363 patients) which spanned periods prior to, and after publication of the NICE guideline. Prior to the NICE guideline 86% patients had an ETT which reduced to 72% post-NICE. Similarly, more patients were discharged with no investigation (12% pre-NICE vs 20% post). There was an increase in the overall number of patients referred for ICA (17% pre-NICE, 19% post), CT (0.4% pre-NICE to 4.4% post) and functional imaging (3.2% pre-NICE to 7.5% post). Overall the number of tests increased from 1.24 to 1.34 per patient post-NICE and the average cost per patient from £262 (€338) to £280 (€361). If the NICE guidelines were strictly applied to our population the average cost would have decreased by 39% to £172 (€222) per patient.</w:t>
                  </w:r>
                  <w:r w:rsidRPr="00204D31">
                    <w:rPr>
                      <w:rFonts w:ascii="segoe_uiregular" w:eastAsia="Times New Roman" w:hAnsi="segoe_uiregular" w:cs="Times New Roman"/>
                      <w:color w:val="333333"/>
                      <w:sz w:val="20"/>
                      <w:szCs w:val="20"/>
                      <w:lang w:eastAsia="en-GB"/>
                    </w:rPr>
                    <w:br/>
                  </w:r>
                  <w:r w:rsidRPr="00204D31">
                    <w:rPr>
                      <w:rFonts w:ascii="segoe_uiregular" w:eastAsia="Times New Roman" w:hAnsi="segoe_uiregular" w:cs="Times New Roman"/>
                      <w:color w:val="333333"/>
                      <w:sz w:val="20"/>
                      <w:szCs w:val="20"/>
                      <w:lang w:eastAsia="en-GB"/>
                    </w:rPr>
                    <w:br/>
                    <w:t xml:space="preserve">Conclusion: This is the largest study reporting temporal trends in assessment of patients in a </w:t>
                  </w:r>
                  <w:proofErr w:type="gramStart"/>
                  <w:r w:rsidRPr="00204D31">
                    <w:rPr>
                      <w:rFonts w:ascii="segoe_uiregular" w:eastAsia="Times New Roman" w:hAnsi="segoe_uiregular" w:cs="Times New Roman"/>
                      <w:color w:val="333333"/>
                      <w:sz w:val="20"/>
                      <w:szCs w:val="20"/>
                      <w:lang w:eastAsia="en-GB"/>
                    </w:rPr>
                    <w:t>RACPC .</w:t>
                  </w:r>
                  <w:proofErr w:type="gramEnd"/>
                  <w:r w:rsidRPr="00204D31">
                    <w:rPr>
                      <w:rFonts w:ascii="segoe_uiregular" w:eastAsia="Times New Roman" w:hAnsi="segoe_uiregular" w:cs="Times New Roman"/>
                      <w:color w:val="333333"/>
                      <w:sz w:val="20"/>
                      <w:szCs w:val="20"/>
                      <w:lang w:eastAsia="en-GB"/>
                    </w:rPr>
                    <w:t xml:space="preserve"> Since 2010 the NICE guidelines have been partial implemented with more non-cardiac chest pain patients being discharged without investigation. ETT was still used in many patients with atypical/typical angina to risk-stratify patients and there was a signific</w:t>
                  </w:r>
                  <w:bookmarkStart w:id="0" w:name="_GoBack"/>
                  <w:bookmarkEnd w:id="0"/>
                  <w:r w:rsidRPr="00204D31">
                    <w:rPr>
                      <w:rFonts w:ascii="segoe_uiregular" w:eastAsia="Times New Roman" w:hAnsi="segoe_uiregular" w:cs="Times New Roman"/>
                      <w:color w:val="333333"/>
                      <w:sz w:val="20"/>
                      <w:szCs w:val="20"/>
                      <w:lang w:eastAsia="en-GB"/>
                    </w:rPr>
                    <w:t>ant increase in the use of non-invasive imaging and ICA. Our results indicate that full implementation of the NICE guideline would result in less investigations and a more cost effective approach to the assessment of patients with suspected CAD.</w:t>
                  </w:r>
                </w:p>
              </w:tc>
            </w:tr>
            <w:tr w:rsidR="00204D31" w:rsidRPr="00204D31">
              <w:trPr>
                <w:tblCellSpacing w:w="15" w:type="dxa"/>
              </w:trPr>
              <w:tc>
                <w:tcPr>
                  <w:tcW w:w="0" w:type="auto"/>
                  <w:shd w:val="clear" w:color="auto" w:fill="auto"/>
                  <w:vAlign w:val="center"/>
                  <w:hideMark/>
                </w:tcPr>
                <w:p w:rsidR="00204D31" w:rsidRPr="00204D31" w:rsidRDefault="00204D31" w:rsidP="00204D31">
                  <w:pPr>
                    <w:spacing w:after="0" w:line="240" w:lineRule="auto"/>
                    <w:rPr>
                      <w:rFonts w:ascii="segoe_uiregular" w:eastAsia="Times New Roman" w:hAnsi="segoe_uiregular" w:cs="Times New Roman"/>
                      <w:color w:val="333333"/>
                      <w:sz w:val="20"/>
                      <w:szCs w:val="20"/>
                      <w:lang w:eastAsia="en-GB"/>
                    </w:rPr>
                  </w:pPr>
                </w:p>
              </w:tc>
            </w:tr>
            <w:tr w:rsidR="00204D31" w:rsidRPr="00204D31">
              <w:trPr>
                <w:tblCellSpacing w:w="15" w:type="dxa"/>
              </w:trPr>
              <w:tc>
                <w:tcPr>
                  <w:tcW w:w="0" w:type="auto"/>
                  <w:shd w:val="clear" w:color="auto" w:fill="auto"/>
                  <w:vAlign w:val="center"/>
                  <w:hideMark/>
                </w:tcPr>
                <w:p w:rsidR="00204D31" w:rsidRPr="00204D31" w:rsidRDefault="00204D31" w:rsidP="00204D31">
                  <w:pPr>
                    <w:spacing w:after="0" w:line="240" w:lineRule="auto"/>
                    <w:rPr>
                      <w:rFonts w:ascii="Times New Roman" w:eastAsia="Times New Roman" w:hAnsi="Times New Roman" w:cs="Times New Roman"/>
                      <w:sz w:val="20"/>
                      <w:szCs w:val="20"/>
                      <w:lang w:eastAsia="en-GB"/>
                    </w:rPr>
                  </w:pPr>
                </w:p>
              </w:tc>
            </w:tr>
            <w:tr w:rsidR="00204D31" w:rsidRPr="00204D31">
              <w:trPr>
                <w:tblCellSpacing w:w="15" w:type="dxa"/>
              </w:trPr>
              <w:tc>
                <w:tcPr>
                  <w:tcW w:w="0" w:type="auto"/>
                  <w:shd w:val="clear" w:color="auto" w:fill="auto"/>
                  <w:tcMar>
                    <w:top w:w="30" w:type="dxa"/>
                    <w:left w:w="30" w:type="dxa"/>
                    <w:bottom w:w="30" w:type="dxa"/>
                    <w:right w:w="30" w:type="dxa"/>
                  </w:tcMar>
                  <w:vAlign w:val="center"/>
                  <w:hideMark/>
                </w:tcPr>
                <w:p w:rsidR="00204D31" w:rsidRPr="00204D31" w:rsidRDefault="00204D31" w:rsidP="00204D31">
                  <w:pPr>
                    <w:spacing w:after="0" w:line="240" w:lineRule="auto"/>
                    <w:rPr>
                      <w:rFonts w:ascii="Times New Roman" w:eastAsia="Times New Roman" w:hAnsi="Times New Roman" w:cs="Times New Roman"/>
                      <w:sz w:val="20"/>
                      <w:szCs w:val="20"/>
                      <w:lang w:eastAsia="en-GB"/>
                    </w:rPr>
                  </w:pPr>
                </w:p>
              </w:tc>
            </w:tr>
          </w:tbl>
          <w:p w:rsidR="00204D31" w:rsidRPr="00204D31" w:rsidRDefault="00204D31" w:rsidP="00204D31">
            <w:pPr>
              <w:spacing w:after="0" w:line="240" w:lineRule="auto"/>
              <w:rPr>
                <w:rFonts w:ascii="segoe_uiregular" w:eastAsia="Times New Roman" w:hAnsi="segoe_uiregular" w:cs="Times New Roman"/>
                <w:color w:val="333333"/>
                <w:sz w:val="20"/>
                <w:szCs w:val="20"/>
                <w:lang w:eastAsia="en-GB"/>
              </w:rPr>
            </w:pPr>
          </w:p>
        </w:tc>
      </w:tr>
    </w:tbl>
    <w:p w:rsidR="00204D31" w:rsidRDefault="00204D31"/>
    <w:p w:rsidR="00204D31" w:rsidRDefault="00204D31">
      <w:r>
        <w:t>-</w:t>
      </w:r>
    </w:p>
    <w:sectPr w:rsidR="00204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_ui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31"/>
    <w:rsid w:val="00000B5F"/>
    <w:rsid w:val="0000536E"/>
    <w:rsid w:val="00005E49"/>
    <w:rsid w:val="00006B51"/>
    <w:rsid w:val="000126D9"/>
    <w:rsid w:val="00014FEB"/>
    <w:rsid w:val="0001705E"/>
    <w:rsid w:val="000200FE"/>
    <w:rsid w:val="00026B21"/>
    <w:rsid w:val="00031357"/>
    <w:rsid w:val="00033EA6"/>
    <w:rsid w:val="0003666F"/>
    <w:rsid w:val="00036969"/>
    <w:rsid w:val="00046971"/>
    <w:rsid w:val="00050FC1"/>
    <w:rsid w:val="00062FCF"/>
    <w:rsid w:val="00064513"/>
    <w:rsid w:val="00065732"/>
    <w:rsid w:val="0008258D"/>
    <w:rsid w:val="00083348"/>
    <w:rsid w:val="000C6190"/>
    <w:rsid w:val="000D2E10"/>
    <w:rsid w:val="000D7FAF"/>
    <w:rsid w:val="000F09D5"/>
    <w:rsid w:val="000F37AF"/>
    <w:rsid w:val="00103DB5"/>
    <w:rsid w:val="001065BB"/>
    <w:rsid w:val="001253AE"/>
    <w:rsid w:val="00145174"/>
    <w:rsid w:val="00146002"/>
    <w:rsid w:val="0016181C"/>
    <w:rsid w:val="00164C42"/>
    <w:rsid w:val="00164FCD"/>
    <w:rsid w:val="00166530"/>
    <w:rsid w:val="00174C15"/>
    <w:rsid w:val="00180C02"/>
    <w:rsid w:val="00181853"/>
    <w:rsid w:val="001A19E0"/>
    <w:rsid w:val="001A7FC5"/>
    <w:rsid w:val="001C024A"/>
    <w:rsid w:val="001F03F4"/>
    <w:rsid w:val="001F16B2"/>
    <w:rsid w:val="001F39C2"/>
    <w:rsid w:val="001F42DF"/>
    <w:rsid w:val="00204D31"/>
    <w:rsid w:val="00206845"/>
    <w:rsid w:val="002106BE"/>
    <w:rsid w:val="00213F76"/>
    <w:rsid w:val="00227DEB"/>
    <w:rsid w:val="00232193"/>
    <w:rsid w:val="00247491"/>
    <w:rsid w:val="00247FC8"/>
    <w:rsid w:val="00250BFB"/>
    <w:rsid w:val="00255968"/>
    <w:rsid w:val="0025731D"/>
    <w:rsid w:val="00260332"/>
    <w:rsid w:val="00265820"/>
    <w:rsid w:val="0027394C"/>
    <w:rsid w:val="00274518"/>
    <w:rsid w:val="00275D17"/>
    <w:rsid w:val="002866CF"/>
    <w:rsid w:val="002A2161"/>
    <w:rsid w:val="002A6FD7"/>
    <w:rsid w:val="002B630D"/>
    <w:rsid w:val="002D23B9"/>
    <w:rsid w:val="002D3424"/>
    <w:rsid w:val="002D59DB"/>
    <w:rsid w:val="002E0FC0"/>
    <w:rsid w:val="002E78AD"/>
    <w:rsid w:val="002F6EBF"/>
    <w:rsid w:val="00305E13"/>
    <w:rsid w:val="003102E5"/>
    <w:rsid w:val="0031541B"/>
    <w:rsid w:val="00316D26"/>
    <w:rsid w:val="00324EFE"/>
    <w:rsid w:val="00341D88"/>
    <w:rsid w:val="00351330"/>
    <w:rsid w:val="00355EA4"/>
    <w:rsid w:val="0036704C"/>
    <w:rsid w:val="0037003E"/>
    <w:rsid w:val="00372285"/>
    <w:rsid w:val="00380168"/>
    <w:rsid w:val="00386678"/>
    <w:rsid w:val="00386F1B"/>
    <w:rsid w:val="00390D79"/>
    <w:rsid w:val="00390EEA"/>
    <w:rsid w:val="00393845"/>
    <w:rsid w:val="0039392D"/>
    <w:rsid w:val="003B0D1B"/>
    <w:rsid w:val="003C0405"/>
    <w:rsid w:val="003C6F5B"/>
    <w:rsid w:val="003D30F5"/>
    <w:rsid w:val="003D4E30"/>
    <w:rsid w:val="003E004B"/>
    <w:rsid w:val="003E2C4D"/>
    <w:rsid w:val="003E603F"/>
    <w:rsid w:val="003E711B"/>
    <w:rsid w:val="0040137A"/>
    <w:rsid w:val="004120C2"/>
    <w:rsid w:val="004124E0"/>
    <w:rsid w:val="00415043"/>
    <w:rsid w:val="00415DCE"/>
    <w:rsid w:val="004215CA"/>
    <w:rsid w:val="004359CC"/>
    <w:rsid w:val="004458F1"/>
    <w:rsid w:val="00451205"/>
    <w:rsid w:val="00451B3D"/>
    <w:rsid w:val="004600D7"/>
    <w:rsid w:val="004646DA"/>
    <w:rsid w:val="00482DED"/>
    <w:rsid w:val="00484446"/>
    <w:rsid w:val="004A5178"/>
    <w:rsid w:val="004B41F9"/>
    <w:rsid w:val="004C0281"/>
    <w:rsid w:val="004D6ACB"/>
    <w:rsid w:val="004E7B48"/>
    <w:rsid w:val="004F1694"/>
    <w:rsid w:val="004F2F34"/>
    <w:rsid w:val="004F34A7"/>
    <w:rsid w:val="004F6C36"/>
    <w:rsid w:val="004F7322"/>
    <w:rsid w:val="00506593"/>
    <w:rsid w:val="0051689E"/>
    <w:rsid w:val="00523C7B"/>
    <w:rsid w:val="0053045A"/>
    <w:rsid w:val="005358CE"/>
    <w:rsid w:val="005419AE"/>
    <w:rsid w:val="00541D8C"/>
    <w:rsid w:val="00545D19"/>
    <w:rsid w:val="00553D84"/>
    <w:rsid w:val="00555069"/>
    <w:rsid w:val="0056023A"/>
    <w:rsid w:val="005614FD"/>
    <w:rsid w:val="00567011"/>
    <w:rsid w:val="005843BD"/>
    <w:rsid w:val="0058718A"/>
    <w:rsid w:val="00596AC6"/>
    <w:rsid w:val="005A143D"/>
    <w:rsid w:val="005A220E"/>
    <w:rsid w:val="005A379A"/>
    <w:rsid w:val="005C2945"/>
    <w:rsid w:val="005C347A"/>
    <w:rsid w:val="005D17BF"/>
    <w:rsid w:val="006102B3"/>
    <w:rsid w:val="00616CF3"/>
    <w:rsid w:val="006173A4"/>
    <w:rsid w:val="00621040"/>
    <w:rsid w:val="00627141"/>
    <w:rsid w:val="0063130B"/>
    <w:rsid w:val="006502A8"/>
    <w:rsid w:val="00651333"/>
    <w:rsid w:val="00662B06"/>
    <w:rsid w:val="00664CDA"/>
    <w:rsid w:val="00670C08"/>
    <w:rsid w:val="00674967"/>
    <w:rsid w:val="00680523"/>
    <w:rsid w:val="00680554"/>
    <w:rsid w:val="00681454"/>
    <w:rsid w:val="006830C4"/>
    <w:rsid w:val="006A324E"/>
    <w:rsid w:val="006A5D00"/>
    <w:rsid w:val="006A76AD"/>
    <w:rsid w:val="006B64FA"/>
    <w:rsid w:val="006C13CE"/>
    <w:rsid w:val="006C6F6A"/>
    <w:rsid w:val="006E1F92"/>
    <w:rsid w:val="006E30C9"/>
    <w:rsid w:val="00706F62"/>
    <w:rsid w:val="00713718"/>
    <w:rsid w:val="00715AC4"/>
    <w:rsid w:val="0072699E"/>
    <w:rsid w:val="00743BDB"/>
    <w:rsid w:val="007516C8"/>
    <w:rsid w:val="007571E6"/>
    <w:rsid w:val="00760488"/>
    <w:rsid w:val="00761B32"/>
    <w:rsid w:val="00772383"/>
    <w:rsid w:val="00782DBC"/>
    <w:rsid w:val="007934D5"/>
    <w:rsid w:val="007A74E1"/>
    <w:rsid w:val="007B0CD5"/>
    <w:rsid w:val="007B32BD"/>
    <w:rsid w:val="007D146D"/>
    <w:rsid w:val="007E3DCC"/>
    <w:rsid w:val="007E4438"/>
    <w:rsid w:val="007E462C"/>
    <w:rsid w:val="007E4DBE"/>
    <w:rsid w:val="007E6F22"/>
    <w:rsid w:val="007F60B3"/>
    <w:rsid w:val="007F72BE"/>
    <w:rsid w:val="0080027E"/>
    <w:rsid w:val="00807751"/>
    <w:rsid w:val="008216B7"/>
    <w:rsid w:val="00822750"/>
    <w:rsid w:val="00844E80"/>
    <w:rsid w:val="0085093C"/>
    <w:rsid w:val="00850BCE"/>
    <w:rsid w:val="008563CF"/>
    <w:rsid w:val="00856AEE"/>
    <w:rsid w:val="00860440"/>
    <w:rsid w:val="00862DB8"/>
    <w:rsid w:val="00866683"/>
    <w:rsid w:val="0087215F"/>
    <w:rsid w:val="00881D6D"/>
    <w:rsid w:val="00881E0F"/>
    <w:rsid w:val="0088669E"/>
    <w:rsid w:val="008963D7"/>
    <w:rsid w:val="008B3290"/>
    <w:rsid w:val="008B39F8"/>
    <w:rsid w:val="008C1DEC"/>
    <w:rsid w:val="008C4C27"/>
    <w:rsid w:val="008C5265"/>
    <w:rsid w:val="008D1152"/>
    <w:rsid w:val="008D14C7"/>
    <w:rsid w:val="008E2F35"/>
    <w:rsid w:val="008E3EF2"/>
    <w:rsid w:val="008F3572"/>
    <w:rsid w:val="008F3DEE"/>
    <w:rsid w:val="008F69F0"/>
    <w:rsid w:val="008F6A07"/>
    <w:rsid w:val="0090433F"/>
    <w:rsid w:val="0091243D"/>
    <w:rsid w:val="00914ECB"/>
    <w:rsid w:val="00924A56"/>
    <w:rsid w:val="00925BE8"/>
    <w:rsid w:val="0093118C"/>
    <w:rsid w:val="00935AC8"/>
    <w:rsid w:val="00960038"/>
    <w:rsid w:val="009601C0"/>
    <w:rsid w:val="00962434"/>
    <w:rsid w:val="00963EE4"/>
    <w:rsid w:val="009737A7"/>
    <w:rsid w:val="00982002"/>
    <w:rsid w:val="009A1FF2"/>
    <w:rsid w:val="009A22F5"/>
    <w:rsid w:val="009A2D0A"/>
    <w:rsid w:val="009B13DE"/>
    <w:rsid w:val="009C46DB"/>
    <w:rsid w:val="009C5760"/>
    <w:rsid w:val="009E55C6"/>
    <w:rsid w:val="009F6E6A"/>
    <w:rsid w:val="00A01039"/>
    <w:rsid w:val="00A057E3"/>
    <w:rsid w:val="00A10B99"/>
    <w:rsid w:val="00A1676B"/>
    <w:rsid w:val="00A35E42"/>
    <w:rsid w:val="00A37AEC"/>
    <w:rsid w:val="00A421A9"/>
    <w:rsid w:val="00A45BE7"/>
    <w:rsid w:val="00A60363"/>
    <w:rsid w:val="00A77A0D"/>
    <w:rsid w:val="00A82E22"/>
    <w:rsid w:val="00A83DA2"/>
    <w:rsid w:val="00AA7109"/>
    <w:rsid w:val="00AB1B22"/>
    <w:rsid w:val="00AB2E39"/>
    <w:rsid w:val="00AD65DE"/>
    <w:rsid w:val="00AE005B"/>
    <w:rsid w:val="00B026A7"/>
    <w:rsid w:val="00B11C30"/>
    <w:rsid w:val="00B214EB"/>
    <w:rsid w:val="00B26EB4"/>
    <w:rsid w:val="00B27CEE"/>
    <w:rsid w:val="00B36A79"/>
    <w:rsid w:val="00B447E0"/>
    <w:rsid w:val="00B46443"/>
    <w:rsid w:val="00B51F92"/>
    <w:rsid w:val="00B53DAE"/>
    <w:rsid w:val="00B72D39"/>
    <w:rsid w:val="00B74894"/>
    <w:rsid w:val="00B750E4"/>
    <w:rsid w:val="00B809B8"/>
    <w:rsid w:val="00B833FA"/>
    <w:rsid w:val="00B8503C"/>
    <w:rsid w:val="00BA4E16"/>
    <w:rsid w:val="00BA6C30"/>
    <w:rsid w:val="00BC7E8A"/>
    <w:rsid w:val="00BD769F"/>
    <w:rsid w:val="00BE1945"/>
    <w:rsid w:val="00BF0AB4"/>
    <w:rsid w:val="00C03B77"/>
    <w:rsid w:val="00C07CE9"/>
    <w:rsid w:val="00C15583"/>
    <w:rsid w:val="00C22C3E"/>
    <w:rsid w:val="00C258FF"/>
    <w:rsid w:val="00C30774"/>
    <w:rsid w:val="00C44168"/>
    <w:rsid w:val="00C46253"/>
    <w:rsid w:val="00C56760"/>
    <w:rsid w:val="00C62664"/>
    <w:rsid w:val="00C6589E"/>
    <w:rsid w:val="00C73CB9"/>
    <w:rsid w:val="00C80858"/>
    <w:rsid w:val="00C866BD"/>
    <w:rsid w:val="00C871E6"/>
    <w:rsid w:val="00C92575"/>
    <w:rsid w:val="00CA4D29"/>
    <w:rsid w:val="00CB188D"/>
    <w:rsid w:val="00CC3A28"/>
    <w:rsid w:val="00CC7A9A"/>
    <w:rsid w:val="00CD69E0"/>
    <w:rsid w:val="00CE0153"/>
    <w:rsid w:val="00CF2D1F"/>
    <w:rsid w:val="00CF3D5C"/>
    <w:rsid w:val="00D01554"/>
    <w:rsid w:val="00D01822"/>
    <w:rsid w:val="00D05538"/>
    <w:rsid w:val="00D1424A"/>
    <w:rsid w:val="00D31487"/>
    <w:rsid w:val="00D346AE"/>
    <w:rsid w:val="00D35C31"/>
    <w:rsid w:val="00D417BB"/>
    <w:rsid w:val="00D62F48"/>
    <w:rsid w:val="00D65F1A"/>
    <w:rsid w:val="00D67C69"/>
    <w:rsid w:val="00D74B0C"/>
    <w:rsid w:val="00D87B0E"/>
    <w:rsid w:val="00D9568C"/>
    <w:rsid w:val="00DA5B0A"/>
    <w:rsid w:val="00DB7244"/>
    <w:rsid w:val="00DC4A01"/>
    <w:rsid w:val="00DC6346"/>
    <w:rsid w:val="00DE0964"/>
    <w:rsid w:val="00DE250C"/>
    <w:rsid w:val="00DF50A9"/>
    <w:rsid w:val="00E10941"/>
    <w:rsid w:val="00E16658"/>
    <w:rsid w:val="00E22CF1"/>
    <w:rsid w:val="00E23CD5"/>
    <w:rsid w:val="00E3638C"/>
    <w:rsid w:val="00E44D8E"/>
    <w:rsid w:val="00E50175"/>
    <w:rsid w:val="00E52E06"/>
    <w:rsid w:val="00E5720A"/>
    <w:rsid w:val="00E61242"/>
    <w:rsid w:val="00E656A7"/>
    <w:rsid w:val="00E727AB"/>
    <w:rsid w:val="00E8306B"/>
    <w:rsid w:val="00E858CF"/>
    <w:rsid w:val="00EB5587"/>
    <w:rsid w:val="00EB7CB3"/>
    <w:rsid w:val="00EC328C"/>
    <w:rsid w:val="00EC3551"/>
    <w:rsid w:val="00EC56FA"/>
    <w:rsid w:val="00EC5CAF"/>
    <w:rsid w:val="00EC5F2D"/>
    <w:rsid w:val="00ED1762"/>
    <w:rsid w:val="00ED29E2"/>
    <w:rsid w:val="00ED348B"/>
    <w:rsid w:val="00ED3AEF"/>
    <w:rsid w:val="00ED3BD3"/>
    <w:rsid w:val="00ED57A3"/>
    <w:rsid w:val="00EF6097"/>
    <w:rsid w:val="00F06E48"/>
    <w:rsid w:val="00F153C6"/>
    <w:rsid w:val="00F15473"/>
    <w:rsid w:val="00F25164"/>
    <w:rsid w:val="00F35D84"/>
    <w:rsid w:val="00F53810"/>
    <w:rsid w:val="00F66025"/>
    <w:rsid w:val="00F71EE0"/>
    <w:rsid w:val="00F726B7"/>
    <w:rsid w:val="00F74DF7"/>
    <w:rsid w:val="00F77AC2"/>
    <w:rsid w:val="00F840B5"/>
    <w:rsid w:val="00F875D5"/>
    <w:rsid w:val="00F879D7"/>
    <w:rsid w:val="00F90AB2"/>
    <w:rsid w:val="00F910F6"/>
    <w:rsid w:val="00FC3B48"/>
    <w:rsid w:val="00FD7135"/>
    <w:rsid w:val="00FE19B1"/>
    <w:rsid w:val="00FF6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2CD5"/>
  <w15:chartTrackingRefBased/>
  <w15:docId w15:val="{F7E0DC31-DA9A-4D7E-B6DB-ED0B6605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6008">
      <w:bodyDiv w:val="1"/>
      <w:marLeft w:val="0"/>
      <w:marRight w:val="0"/>
      <w:marTop w:val="0"/>
      <w:marBottom w:val="0"/>
      <w:divBdr>
        <w:top w:val="none" w:sz="0" w:space="0" w:color="auto"/>
        <w:left w:val="none" w:sz="0" w:space="0" w:color="auto"/>
        <w:bottom w:val="none" w:sz="0" w:space="0" w:color="auto"/>
        <w:right w:val="none" w:sz="0" w:space="0" w:color="auto"/>
      </w:divBdr>
      <w:divsChild>
        <w:div w:id="835920928">
          <w:marLeft w:val="0"/>
          <w:marRight w:val="0"/>
          <w:marTop w:val="100"/>
          <w:marBottom w:val="100"/>
          <w:divBdr>
            <w:top w:val="none" w:sz="0" w:space="0" w:color="auto"/>
            <w:left w:val="none" w:sz="0" w:space="0" w:color="auto"/>
            <w:bottom w:val="none" w:sz="0" w:space="0" w:color="auto"/>
            <w:right w:val="none" w:sz="0" w:space="0" w:color="auto"/>
          </w:divBdr>
          <w:divsChild>
            <w:div w:id="1266115870">
              <w:marLeft w:val="0"/>
              <w:marRight w:val="0"/>
              <w:marTop w:val="0"/>
              <w:marBottom w:val="0"/>
              <w:divBdr>
                <w:top w:val="none" w:sz="0" w:space="0" w:color="auto"/>
                <w:left w:val="none" w:sz="0" w:space="0" w:color="auto"/>
                <w:bottom w:val="none" w:sz="0" w:space="0" w:color="auto"/>
                <w:right w:val="none" w:sz="0" w:space="0" w:color="auto"/>
              </w:divBdr>
              <w:divsChild>
                <w:div w:id="721102234">
                  <w:marLeft w:val="0"/>
                  <w:marRight w:val="0"/>
                  <w:marTop w:val="0"/>
                  <w:marBottom w:val="0"/>
                  <w:divBdr>
                    <w:top w:val="none" w:sz="0" w:space="0" w:color="auto"/>
                    <w:left w:val="none" w:sz="0" w:space="0" w:color="auto"/>
                    <w:bottom w:val="none" w:sz="0" w:space="0" w:color="auto"/>
                    <w:right w:val="none" w:sz="0" w:space="0" w:color="auto"/>
                  </w:divBdr>
                  <w:divsChild>
                    <w:div w:id="13031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714935">
      <w:bodyDiv w:val="1"/>
      <w:marLeft w:val="0"/>
      <w:marRight w:val="0"/>
      <w:marTop w:val="0"/>
      <w:marBottom w:val="0"/>
      <w:divBdr>
        <w:top w:val="none" w:sz="0" w:space="0" w:color="auto"/>
        <w:left w:val="none" w:sz="0" w:space="0" w:color="auto"/>
        <w:bottom w:val="none" w:sz="0" w:space="0" w:color="auto"/>
        <w:right w:val="none" w:sz="0" w:space="0" w:color="auto"/>
      </w:divBdr>
      <w:divsChild>
        <w:div w:id="1804271728">
          <w:marLeft w:val="0"/>
          <w:marRight w:val="0"/>
          <w:marTop w:val="100"/>
          <w:marBottom w:val="100"/>
          <w:divBdr>
            <w:top w:val="none" w:sz="0" w:space="0" w:color="auto"/>
            <w:left w:val="none" w:sz="0" w:space="0" w:color="auto"/>
            <w:bottom w:val="none" w:sz="0" w:space="0" w:color="auto"/>
            <w:right w:val="none" w:sz="0" w:space="0" w:color="auto"/>
          </w:divBdr>
          <w:divsChild>
            <w:div w:id="1637643263">
              <w:marLeft w:val="0"/>
              <w:marRight w:val="0"/>
              <w:marTop w:val="0"/>
              <w:marBottom w:val="0"/>
              <w:divBdr>
                <w:top w:val="none" w:sz="0" w:space="0" w:color="auto"/>
                <w:left w:val="none" w:sz="0" w:space="0" w:color="auto"/>
                <w:bottom w:val="none" w:sz="0" w:space="0" w:color="auto"/>
                <w:right w:val="none" w:sz="0" w:space="0" w:color="auto"/>
              </w:divBdr>
              <w:divsChild>
                <w:div w:id="1380319532">
                  <w:marLeft w:val="0"/>
                  <w:marRight w:val="0"/>
                  <w:marTop w:val="0"/>
                  <w:marBottom w:val="0"/>
                  <w:divBdr>
                    <w:top w:val="none" w:sz="0" w:space="0" w:color="auto"/>
                    <w:left w:val="none" w:sz="0" w:space="0" w:color="auto"/>
                    <w:bottom w:val="none" w:sz="0" w:space="0" w:color="auto"/>
                    <w:right w:val="none" w:sz="0" w:space="0" w:color="auto"/>
                  </w:divBdr>
                  <w:divsChild>
                    <w:div w:id="5153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Bogle</dc:creator>
  <cp:keywords/>
  <dc:description/>
  <cp:lastModifiedBy>Richard Bogle</cp:lastModifiedBy>
  <cp:revision>1</cp:revision>
  <dcterms:created xsi:type="dcterms:W3CDTF">2016-06-21T18:57:00Z</dcterms:created>
  <dcterms:modified xsi:type="dcterms:W3CDTF">2016-06-21T19:24:00Z</dcterms:modified>
</cp:coreProperties>
</file>